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3" w:rsidRPr="00535829" w:rsidRDefault="00AE1783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5829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parametrów wymaganych i ocenianych  dla części nr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</w:p>
    <w:p w:rsidR="00AE1783" w:rsidRPr="00316D09" w:rsidRDefault="00AE1783" w:rsidP="00316D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WYMAGANE</w:t>
      </w:r>
    </w:p>
    <w:tbl>
      <w:tblPr>
        <w:tblW w:w="965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971"/>
        <w:gridCol w:w="1244"/>
        <w:gridCol w:w="3823"/>
      </w:tblGrid>
      <w:tr w:rsidR="00AE1783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B045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AE1783">
        <w:tc>
          <w:tcPr>
            <w:tcW w:w="9656" w:type="dxa"/>
            <w:gridSpan w:val="4"/>
            <w:shd w:val="clear" w:color="auto" w:fill="FFFFFF"/>
            <w:tcMar>
              <w:left w:w="58" w:type="dxa"/>
            </w:tcMar>
          </w:tcPr>
          <w:p w:rsidR="00AE1783" w:rsidRDefault="00AE1783">
            <w:pPr>
              <w:pStyle w:val="Style4"/>
              <w:spacing w:before="43" w:after="0" w:line="240" w:lineRule="auto"/>
              <w:jc w:val="left"/>
              <w:rPr>
                <w:rFonts w:cs="Arial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Analizator  z oprogramowaniem do automatycznej izolacji kwasów nukleinowych w technologii Real-time PCR</w:t>
            </w: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Analizator umożliwia automatyczną izolację kwasów nukleinowych z próbek pacjentów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Możliwość wykonania izolacji z próbki pierwotnej, do której został pobrany materiał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 xml:space="preserve">Automatyczny system pipetujący zabezpieczający przed powstawaniem aerozoli w trakcie wymuszonego mechanicznego odrzucania końcówek 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Automatyczny analizator wyposażony w komputer, monitor, drukarkę i dodatkowy sprzęt niezbędny do prawidłowego działania , wraz z instalacją, uruchomieniem, walidacją oraz szkoleniem personelu  miejscu instalacji.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Wyposażenie w awaryjny zasilacz akumulatorowy (UPS)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Walidacja testów do zastosowanego analizatora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Pełna instrukcja obsługi przedmiotu oferty w języku polskim 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zapewnia bezpłatny, pełny, certyfikowany serwis gwarancyjny systemów w czasie trwania umowy, obejmujący bieżące naprawy, przeglądy, konserwacje, aktualizowanie oprogramowania komputerowego, oraz odczynniki służące do mycia i konserwacji maszyny po każdorazowym procesie.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zapewnia  możliwość zgłaszania awarii systemów przez 24 godziny  na dobę przez 365 dni w roku.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 xml:space="preserve">Wykonawca wraz z zamawianymi odczynnikami musi dostarczyć ich karty charakterystyki w formie </w:t>
            </w:r>
            <w:r w:rsidRPr="00C739FE">
              <w:rPr>
                <w:rFonts w:ascii="Times New Roman" w:hAnsi="Times New Roman" w:cs="Times New Roman"/>
                <w:u w:val="single"/>
                <w:lang w:eastAsia="pl-PL"/>
              </w:rPr>
              <w:t>pisemnej</w:t>
            </w:r>
            <w:r w:rsidRPr="00C739FE">
              <w:rPr>
                <w:rFonts w:ascii="Times New Roman" w:hAnsi="Times New Roman" w:cs="Times New Roman"/>
                <w:lang w:eastAsia="pl-PL"/>
              </w:rPr>
              <w:t xml:space="preserve"> oraz elektronicznej w języku polskim, a także</w:t>
            </w:r>
            <w:r w:rsidRPr="00C739FE">
              <w:rPr>
                <w:rFonts w:ascii="Times New Roman" w:hAnsi="Times New Roman" w:cs="Times New Roman"/>
              </w:rPr>
              <w:t xml:space="preserve"> ich </w:t>
            </w:r>
            <w:r w:rsidRPr="00C739FE">
              <w:rPr>
                <w:rFonts w:ascii="Times New Roman" w:hAnsi="Times New Roman" w:cs="Times New Roman"/>
                <w:u w:val="single"/>
              </w:rPr>
              <w:t>kolejne aktualizacje</w:t>
            </w:r>
            <w:r w:rsidRPr="00C739FE">
              <w:rPr>
                <w:rFonts w:ascii="Times New Roman" w:hAnsi="Times New Roman" w:cs="Times New Roman"/>
              </w:rPr>
              <w:t xml:space="preserve"> w formie pisemnej oraz elektronicznej.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 w:rsidRPr="00C739F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zobowiązuje się  do zainstalowania systemu zastępczego w czasie nie dłuższym niż 7 dni roboczych od momentu stwierdzenia faktu o potrzebie wymiany sprzętu na zastępczy przez Zamawiającego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690D0B">
            <w:pPr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E1783" w:rsidRDefault="00AE1783">
      <w:pPr>
        <w:rPr>
          <w:rFonts w:cs="Arial"/>
        </w:rPr>
      </w:pPr>
    </w:p>
    <w:tbl>
      <w:tblPr>
        <w:tblW w:w="965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7"/>
        <w:gridCol w:w="3971"/>
        <w:gridCol w:w="1244"/>
        <w:gridCol w:w="3824"/>
      </w:tblGrid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690D0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AE1783">
        <w:tc>
          <w:tcPr>
            <w:tcW w:w="9656" w:type="dxa"/>
            <w:gridSpan w:val="4"/>
            <w:shd w:val="clear" w:color="auto" w:fill="FFFFFF"/>
            <w:tcMar>
              <w:left w:w="58" w:type="dxa"/>
            </w:tcMar>
          </w:tcPr>
          <w:p w:rsidR="00AE1783" w:rsidRDefault="00AE1783">
            <w:pPr>
              <w:pStyle w:val="Style4"/>
              <w:spacing w:before="43" w:after="0" w:line="240" w:lineRule="auto"/>
              <w:jc w:val="left"/>
              <w:rPr>
                <w:rFonts w:cs="Arial"/>
              </w:rPr>
            </w:pPr>
            <w:r>
              <w:rPr>
                <w:rStyle w:val="FontStyle28"/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Analizator  z oprogramowaniem do automatycznej amplifikacji i detekcji sekwencji kwasów nukleinowych w technologii Real-time PCR</w:t>
            </w: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Automatyczny analizator wykorzystujący technologię PCR w czasie rzeczywistym (Real-time PCR) - z jednoczesną amplifikacją i detekcją kwasów nukleinowych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Analizator  do przeprowadzania reakcji amplifikacji/detekcji wyposażony w komputer, monitor, drukarkę i dodatkowy sprzęt niezbędny do prawidłowego działania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Proces amplifikacji i detekcji przebiegający w zamkniętej probówce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Zamknięty pokład aparatu – nie wymaga obsługi po wstawieniu próbek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Walidacja testów do zastosowanego analizatora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Wyposażenie w awaryjny zasilacz akumulatorowy (UPS)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Program komputerowy zapewniający sterowanie analizatorem i automatyczną interpretację wyników, wraz ze wszystkimi wymaganymi aktualizacjami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Wyniki dostępne natychmiast po zakończeniu reakcji bez konieczności wykonywania dodatkowych etapów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88" w:lineRule="exact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Archiwizacja i przechowywanie wyników badań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 xml:space="preserve">Pełna instrukcja obsługi przedmiotu oferty w języku polskim 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E1783">
        <w:trPr>
          <w:trHeight w:val="1185"/>
        </w:trPr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Instalacja analizatora uwzględnia wszystkie niezbędne elementy wyposażenia dostarczone na koszt Wykonawcy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zapewnia bezpłatny, pełny, certyfikowany serwis gwarancyjny systemów w czasie trwania umowy, obejmujący bieżące naprawy, przeglądy, konserwacje, aktualizowanie oprogramowania komputerowego.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Pr="00C739FE" w:rsidRDefault="00AE1783" w:rsidP="00C739F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739FE">
              <w:rPr>
                <w:rFonts w:ascii="Times New Roman" w:hAnsi="Times New Roman" w:cs="Times New Roman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C739FE">
            <w:pPr>
              <w:jc w:val="center"/>
              <w:rPr>
                <w:rFonts w:cs="Arial"/>
              </w:rPr>
            </w:pPr>
            <w:r w:rsidRPr="00B20175">
              <w:rPr>
                <w:rStyle w:val="FontStyle24"/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</w:tcPr>
          <w:p w:rsidR="00AE1783" w:rsidRPr="00C739FE" w:rsidRDefault="00AE1783">
            <w:pPr>
              <w:pStyle w:val="Style2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E1783" w:rsidRDefault="00AE1783">
      <w:pPr>
        <w:rPr>
          <w:rFonts w:cs="Arial"/>
        </w:rPr>
      </w:pPr>
    </w:p>
    <w:p w:rsidR="00AE1783" w:rsidRPr="00C739FE" w:rsidRDefault="00AE1783" w:rsidP="00C73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OCENIANE</w:t>
      </w:r>
    </w:p>
    <w:tbl>
      <w:tblPr>
        <w:tblW w:w="965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7"/>
        <w:gridCol w:w="3971"/>
        <w:gridCol w:w="1244"/>
        <w:gridCol w:w="3824"/>
      </w:tblGrid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Default="00AE1783" w:rsidP="006224D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F4712">
              <w:rPr>
                <w:rFonts w:ascii="Times New Roman" w:hAnsi="Times New Roman" w:cs="Times New Roman"/>
                <w:b/>
                <w:bCs/>
              </w:rPr>
              <w:t>Ochrona przed kontaminacją – amperaza /</w:t>
            </w:r>
            <w:r>
              <w:rPr>
                <w:rFonts w:ascii="Times New Roman" w:hAnsi="Times New Roman" w:cs="Times New Roman"/>
              </w:rPr>
              <w:t>dotyczy części nr 2 poz. nr 4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AE1783" w:rsidRDefault="00AE1783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E1783" w:rsidRDefault="00AE1783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4F4712" w:rsidRDefault="00AE1783" w:rsidP="006224D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Wykrywanie minimum 42 mutacji </w:t>
            </w:r>
            <w:r w:rsidRPr="004F4712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dotyczy części nr 2 poz. nr 3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AE1783" w:rsidRDefault="00AE1783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E1783" w:rsidRDefault="00AE1783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Pr="004F4712" w:rsidRDefault="00AE1783" w:rsidP="006224D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Walidowanie na preparaty FFPET oraz pzakomórkwe DNA (cudna)  z osocza krwi </w:t>
            </w:r>
            <w:r w:rsidRPr="004F4712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dotyczy części nr 2 poz. nr 3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AE1783" w:rsidRDefault="00AE1783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E1783" w:rsidRDefault="00AE1783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AE1783">
        <w:tc>
          <w:tcPr>
            <w:tcW w:w="617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AE1783" w:rsidRDefault="00AE1783" w:rsidP="006224D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Wykrywanie mutacji V600E (GTG&gt;GAG), V600K (GTG&gt;AAG), V600R (GTG&gt;AGG) V600E2 (GTG&gt;GAA), V600D (GTG&gt;GAT) </w:t>
            </w:r>
            <w:r w:rsidRPr="004F4712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dotyczy części nr 2 poz. nr 2 – formularz cenowy/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</w:tcPr>
          <w:p w:rsidR="00AE1783" w:rsidRDefault="00AE1783" w:rsidP="006224DA">
            <w:pPr>
              <w:pStyle w:val="Style2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shd w:val="clear" w:color="auto" w:fill="FFFFFF"/>
            <w:tcMar>
              <w:left w:w="58" w:type="dxa"/>
            </w:tcMar>
            <w:vAlign w:val="center"/>
          </w:tcPr>
          <w:p w:rsidR="00AE1783" w:rsidRDefault="00AE1783" w:rsidP="00D50E6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E1783" w:rsidRDefault="00AE1783" w:rsidP="00D50E6E">
            <w:pPr>
              <w:pStyle w:val="Style2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 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</w:tbl>
    <w:p w:rsidR="00AE1783" w:rsidRDefault="00AE1783">
      <w:pPr>
        <w:rPr>
          <w:rFonts w:cs="Arial"/>
        </w:rPr>
      </w:pPr>
    </w:p>
    <w:p w:rsidR="00AE1783" w:rsidRDefault="00AE1783" w:rsidP="00D50E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zaznaczyć</w:t>
      </w:r>
    </w:p>
    <w:p w:rsidR="00AE1783" w:rsidRPr="00D50E6E" w:rsidRDefault="00AE17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83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– za każdą odpowiedź zaznaczoną na TAK Wykonawca otrzyma 5 punktów. Suma punktów będzie podstawą do sporządzenia  oceny parametrów techniczno – użytkowych.</w:t>
      </w:r>
    </w:p>
    <w:p w:rsidR="00AE1783" w:rsidRDefault="00AE1783" w:rsidP="00D50E6E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E1783" w:rsidRPr="00D50E6E" w:rsidRDefault="00AE1783" w:rsidP="00D50E6E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sectPr w:rsidR="00AE1783" w:rsidRPr="00D50E6E" w:rsidSect="00A32C06">
      <w:headerReference w:type="default" r:id="rId7"/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83" w:rsidRDefault="00AE1783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AE1783" w:rsidRDefault="00AE1783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83" w:rsidRDefault="00AE1783">
    <w:pPr>
      <w:pStyle w:val="Footer"/>
      <w:jc w:val="center"/>
      <w:rPr>
        <w:rFonts w:cs="Arial"/>
      </w:rPr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83" w:rsidRDefault="00AE1783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AE1783" w:rsidRDefault="00AE1783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83" w:rsidRPr="00EB4832" w:rsidRDefault="00AE1783">
    <w:pPr>
      <w:pStyle w:val="Header"/>
      <w:rPr>
        <w:rFonts w:ascii="Times New Roman" w:hAnsi="Times New Roman" w:cs="Times New Roman"/>
        <w:sz w:val="24"/>
        <w:szCs w:val="24"/>
      </w:rPr>
    </w:pPr>
    <w:r w:rsidRPr="00EB4832">
      <w:rPr>
        <w:rFonts w:ascii="Times New Roman" w:hAnsi="Times New Roman" w:cs="Times New Roman"/>
        <w:sz w:val="24"/>
        <w:szCs w:val="24"/>
      </w:rPr>
      <w:t xml:space="preserve">DZPZ/333/1UEPN/2018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EB4832">
      <w:rPr>
        <w:rFonts w:ascii="Times New Roman" w:hAnsi="Times New Roman" w:cs="Times New Roman"/>
        <w:sz w:val="24"/>
        <w:szCs w:val="24"/>
      </w:rPr>
      <w:t xml:space="preserve">                              Załącznik nr </w:t>
    </w:r>
    <w:r>
      <w:rPr>
        <w:rFonts w:ascii="Times New Roman" w:hAnsi="Times New Roman" w:cs="Times New Roman"/>
        <w:sz w:val="24"/>
        <w:szCs w:val="24"/>
      </w:rPr>
      <w:t>7</w:t>
    </w:r>
    <w:r w:rsidRPr="00EB4832">
      <w:rPr>
        <w:rFonts w:ascii="Times New Roman" w:hAnsi="Times New Roman" w:cs="Times New Roman"/>
        <w:sz w:val="24"/>
        <w:szCs w:val="24"/>
      </w:rPr>
      <w:t xml:space="preserve"> do SIWZ.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CE7"/>
    <w:multiLevelType w:val="multilevel"/>
    <w:tmpl w:val="A39C1DA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AA5B38"/>
    <w:multiLevelType w:val="multilevel"/>
    <w:tmpl w:val="7FA697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7D"/>
    <w:rsid w:val="0005292F"/>
    <w:rsid w:val="001D5626"/>
    <w:rsid w:val="001F20E3"/>
    <w:rsid w:val="00220786"/>
    <w:rsid w:val="00244B58"/>
    <w:rsid w:val="00293A83"/>
    <w:rsid w:val="00316D09"/>
    <w:rsid w:val="003572CB"/>
    <w:rsid w:val="00375DD6"/>
    <w:rsid w:val="003A368F"/>
    <w:rsid w:val="003C2981"/>
    <w:rsid w:val="0048496C"/>
    <w:rsid w:val="004A2CF2"/>
    <w:rsid w:val="004C64A5"/>
    <w:rsid w:val="004F4712"/>
    <w:rsid w:val="004F5035"/>
    <w:rsid w:val="00535829"/>
    <w:rsid w:val="00577F03"/>
    <w:rsid w:val="00590496"/>
    <w:rsid w:val="00597E7F"/>
    <w:rsid w:val="00600A30"/>
    <w:rsid w:val="00610A26"/>
    <w:rsid w:val="006224DA"/>
    <w:rsid w:val="00651C9A"/>
    <w:rsid w:val="006855DE"/>
    <w:rsid w:val="00690D0B"/>
    <w:rsid w:val="006A2438"/>
    <w:rsid w:val="00723FBC"/>
    <w:rsid w:val="00784774"/>
    <w:rsid w:val="007F4331"/>
    <w:rsid w:val="00804CFE"/>
    <w:rsid w:val="008114C6"/>
    <w:rsid w:val="00894031"/>
    <w:rsid w:val="00921D82"/>
    <w:rsid w:val="00993782"/>
    <w:rsid w:val="009A0928"/>
    <w:rsid w:val="009B654B"/>
    <w:rsid w:val="00A32C06"/>
    <w:rsid w:val="00A948A2"/>
    <w:rsid w:val="00AC32AD"/>
    <w:rsid w:val="00AE1783"/>
    <w:rsid w:val="00B0459A"/>
    <w:rsid w:val="00B20175"/>
    <w:rsid w:val="00B638C4"/>
    <w:rsid w:val="00B70073"/>
    <w:rsid w:val="00BA147D"/>
    <w:rsid w:val="00BF09F6"/>
    <w:rsid w:val="00C1157F"/>
    <w:rsid w:val="00C11FE5"/>
    <w:rsid w:val="00C301AA"/>
    <w:rsid w:val="00C739FE"/>
    <w:rsid w:val="00CD3589"/>
    <w:rsid w:val="00CF5B39"/>
    <w:rsid w:val="00D50E6E"/>
    <w:rsid w:val="00D955AC"/>
    <w:rsid w:val="00E237F3"/>
    <w:rsid w:val="00EB4832"/>
    <w:rsid w:val="00EB6ED0"/>
    <w:rsid w:val="00EF5CD4"/>
    <w:rsid w:val="00F54897"/>
    <w:rsid w:val="00F9616F"/>
    <w:rsid w:val="00FA6DB5"/>
    <w:rsid w:val="00FE246D"/>
    <w:rsid w:val="00FF0B08"/>
    <w:rsid w:val="00F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438"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32C06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A32C06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efaultParagraphFont"/>
    <w:uiPriority w:val="99"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438"/>
    <w:rPr>
      <w:color w:val="00000A"/>
      <w:kern w:val="2"/>
      <w:lang w:eastAsia="en-US"/>
    </w:rPr>
  </w:style>
  <w:style w:type="paragraph" w:styleId="BodyText">
    <w:name w:val="Body Text"/>
    <w:basedOn w:val="Normal"/>
    <w:link w:val="BodyTextChar"/>
    <w:uiPriority w:val="99"/>
    <w:rsid w:val="00A32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2438"/>
    <w:rPr>
      <w:color w:val="00000A"/>
      <w:kern w:val="2"/>
      <w:lang w:eastAsia="en-US"/>
    </w:rPr>
  </w:style>
  <w:style w:type="paragraph" w:styleId="List">
    <w:name w:val="List"/>
    <w:basedOn w:val="BodyText"/>
    <w:uiPriority w:val="99"/>
    <w:rsid w:val="00A32C06"/>
  </w:style>
  <w:style w:type="paragraph" w:styleId="Caption">
    <w:name w:val="caption"/>
    <w:basedOn w:val="Normal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32C06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A32C06"/>
    <w:pPr>
      <w:spacing w:line="10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2438"/>
    <w:rPr>
      <w:color w:val="00000A"/>
      <w:kern w:val="2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A3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24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438"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paragraph" w:customStyle="1" w:styleId="Zawartotabeli">
    <w:name w:val="Zawartość tabeli"/>
    <w:basedOn w:val="Normal"/>
    <w:uiPriority w:val="99"/>
    <w:rsid w:val="00A32C06"/>
  </w:style>
  <w:style w:type="paragraph" w:customStyle="1" w:styleId="Nagwektabeli">
    <w:name w:val="Nagłówek tabeli"/>
    <w:basedOn w:val="Zawartotabeli"/>
    <w:uiPriority w:val="99"/>
    <w:rsid w:val="00A32C06"/>
  </w:style>
  <w:style w:type="paragraph" w:styleId="FootnoteText">
    <w:name w:val="footnote text"/>
    <w:basedOn w:val="Normal"/>
    <w:link w:val="FootnoteTextChar"/>
    <w:uiPriority w:val="99"/>
    <w:semiHidden/>
    <w:rsid w:val="00A32C0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2438"/>
    <w:rPr>
      <w:color w:val="00000A"/>
      <w:kern w:val="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32C0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438"/>
    <w:rPr>
      <w:color w:val="00000A"/>
      <w:kern w:val="2"/>
      <w:lang w:eastAsia="en-US"/>
    </w:rPr>
  </w:style>
  <w:style w:type="paragraph" w:customStyle="1" w:styleId="Style2">
    <w:name w:val="Style2"/>
    <w:basedOn w:val="Normal"/>
    <w:uiPriority w:val="99"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"/>
    <w:uiPriority w:val="99"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3</Pages>
  <Words>623</Words>
  <Characters>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parametrów wymaganych i ocenianych  dla części nr 1</dc:title>
  <dc:subject/>
  <dc:creator>Kotecka</dc:creator>
  <cp:keywords/>
  <dc:description/>
  <cp:lastModifiedBy>wiskam</cp:lastModifiedBy>
  <cp:revision>5</cp:revision>
  <cp:lastPrinted>2018-01-04T07:45:00Z</cp:lastPrinted>
  <dcterms:created xsi:type="dcterms:W3CDTF">2018-01-11T11:56:00Z</dcterms:created>
  <dcterms:modified xsi:type="dcterms:W3CDTF">2018-01-12T09:19:00Z</dcterms:modified>
</cp:coreProperties>
</file>